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ind w:left="-567" w:hanging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/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A89112F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660" cy="100774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120" cy="100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pt;height:79.25pt;mso-position-horizontal:center;mso-position-horizontal-relative:page" wp14:anchorId="1A89112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4. Manufatti in avorio, osso, cuoio, pelle, cera, materiali cornei e organici in genere</w:t>
      </w:r>
      <w:bookmarkStart w:id="0" w:name="_Hlk516128782"/>
      <w:bookmarkEnd w:id="0"/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cy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magenta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lang w:val="it-IT"/>
              </w:rPr>
              <w:t xml:space="preserve">*Valore assicurativo €: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2833"/>
        <w:gridCol w:w="3971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u w:val="single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  <w:r>
              <w:rPr>
                <w:rFonts w:cs="Times New Roman"/>
                <w:u w:val="single"/>
                <w:lang w:val="it-IT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decorativi</w:t>
            </w:r>
          </w:p>
        </w:tc>
        <w:tc>
          <w:tcPr>
            <w:tcW w:w="6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cornice: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447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11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9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□ sì, fino al                                                            </w:t>
            </w:r>
          </w:p>
        </w:tc>
      </w:tr>
      <w:tr>
        <w:trPr>
          <w:trHeight w:val="427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06"/>
        <w:gridCol w:w="713"/>
        <w:gridCol w:w="4075"/>
        <w:gridCol w:w="782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     cattivo □           mediocre □          discreto □            buono □</w:t>
            </w:r>
          </w:p>
        </w:tc>
      </w:tr>
      <w:tr>
        <w:trPr>
          <w:trHeight w:val="1797" w:hRule="atLeast"/>
        </w:trPr>
        <w:tc>
          <w:tcPr>
            <w:tcW w:w="4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 / Danni al supporto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materiche/ Deformazioni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Perdita di elementi decorativi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Fori/ Fratture/ Fessurazioni</w:t>
            </w:r>
          </w:p>
        </w:tc>
        <w:tc>
          <w:tcPr>
            <w:tcW w:w="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Integrazioni/ Rifacimenti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Attacchi di insetti o animali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680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T°C                   UR %                    Lux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6"/>
        <w:gridCol w:w="1834"/>
        <w:gridCol w:w="2415"/>
        <w:gridCol w:w="2414"/>
      </w:tblGrid>
      <w:tr>
        <w:trPr>
          <w:trHeight w:val="862" w:hRule="atLeast"/>
        </w:trPr>
        <w:tc>
          <w:tcPr>
            <w:tcW w:w="965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</w:tc>
      </w:tr>
      <w:tr>
        <w:trPr>
          <w:trHeight w:val="148" w:hRule="atLeast"/>
        </w:trPr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>Avorio, Osso, Corno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Cuoio, Pelli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Cera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 xml:space="preserve">Materiale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organico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 xml:space="preserve">in genere    </w:t>
            </w: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                                                                          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19-24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19-24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T (°C) &lt;18                   </w:t>
            </w:r>
            <w:r>
              <w:rPr>
                <w:rFonts w:cs="Times New Roman" w:ascii="Times New Roman" w:hAnsi="Times New Roman"/>
                <w:b/>
                <w:bCs/>
                <w:i w:val="false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T (°C) 19-24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                                       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45-65 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fr-FR"/>
              </w:rPr>
              <w:t xml:space="preserve">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50-60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color w:val="FF0000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>UR %       N.R.</w:t>
            </w:r>
            <w:r>
              <w:rPr>
                <w:rFonts w:cs="Times New Roman" w:ascii="Times New Roman" w:hAnsi="Times New Roman"/>
                <w:i w:val="false"/>
                <w:color w:val="FF0000"/>
                <w:sz w:val="24"/>
                <w:szCs w:val="24"/>
                <w:lang w:val="it-IT"/>
              </w:rPr>
              <w:t xml:space="preserve">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4"/>
                <w:szCs w:val="24"/>
                <w:lang w:val="it-IT"/>
              </w:rPr>
              <w:t xml:space="preserve">UR %      50-65            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it-IT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 w:val="false"/>
                <w:sz w:val="24"/>
                <w:szCs w:val="24"/>
                <w:lang w:val="it-IT"/>
              </w:rPr>
              <w:t>Lux    ≤ 150</w:t>
            </w:r>
          </w:p>
          <w:p>
            <w:pPr>
              <w:pStyle w:val="Textbody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  <w:p>
            <w:pPr>
              <w:pStyle w:val="Textbody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  <w:p>
            <w:pPr>
              <w:pStyle w:val="Textbody"/>
              <w:spacing w:before="0" w:after="120"/>
              <w:rPr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Lux    ≤ 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96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15"/>
        <w:gridCol w:w="3379"/>
        <w:gridCol w:w="3143"/>
      </w:tblGrid>
      <w:tr>
        <w:trPr/>
        <w:tc>
          <w:tcPr>
            <w:tcW w:w="3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□ 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616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  <w:bookmarkStart w:id="1" w:name="_GoBack"/>
            <w:bookmarkEnd w:id="1"/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 xml:space="preserve"> </w:t>
      </w:r>
      <w:r>
        <w:rPr>
          <w:kern w:val="0"/>
          <w:sz w:val="16"/>
          <w:szCs w:val="16"/>
          <w:lang w:val="it-IT"/>
        </w:rPr>
        <w:t>I campi contrassegnati da asterisco sono a compilazione obbligatoria. Il campo Soggetto è obbligatorio per i soli beni storico-artistici; il campo Contesto di provenienza è obbligatorio per i soli beni archeologici e i reperti bioarcheologici e paleontologici.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2E70-79CB-47C8-BC4C-37DD5E6F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LibreOffice/6.0.3.2$Windows_X86_64 LibreOffice_project/8f48d515416608e3a835360314dac7e47fd0b821</Application>
  <Pages>3</Pages>
  <Words>479</Words>
  <Characters>2824</Characters>
  <CharactersWithSpaces>4106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2018-04-23T08:29:00Z</dcterms:created>
  <dc:creator>Spezzaferro Livia</dc:creator>
  <dc:description/>
  <dc:language>it-IT</dc:language>
  <cp:lastModifiedBy/>
  <dcterms:modified xsi:type="dcterms:W3CDTF">2019-02-21T15:42:33Z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